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92A55" w:rsidRDefault="00A25B76">
      <w:pPr>
        <w:pStyle w:val="DefaultParagraphFont"/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392A55">
        <w:rPr>
          <w:rFonts w:ascii="Times" w:hAnsi="Times" w:cs="Times"/>
          <w:b/>
          <w:bCs/>
          <w:szCs w:val="20"/>
        </w:rPr>
        <w:t>AP Statistics</w:t>
      </w:r>
      <w:r w:rsidRPr="00392A55">
        <w:rPr>
          <w:rFonts w:ascii="Times New Roman" w:hAnsi="Times New Roman" w:cs="Times New Roman"/>
          <w:sz w:val="28"/>
          <w:szCs w:val="24"/>
        </w:rPr>
        <w:tab/>
      </w:r>
      <w:r w:rsidRPr="00392A55">
        <w:rPr>
          <w:rFonts w:ascii="Times" w:hAnsi="Times" w:cs="Times"/>
          <w:b/>
          <w:bCs/>
          <w:sz w:val="20"/>
          <w:szCs w:val="19"/>
        </w:rPr>
        <w:t>Chapter 1-</w:t>
      </w:r>
      <w:r w:rsidR="00392A55">
        <w:rPr>
          <w:rFonts w:ascii="Times" w:hAnsi="Times" w:cs="Times"/>
          <w:b/>
          <w:bCs/>
          <w:sz w:val="20"/>
          <w:szCs w:val="19"/>
        </w:rPr>
        <w:t>3 (+a little 4)</w:t>
      </w:r>
      <w:r w:rsidRPr="00392A55">
        <w:rPr>
          <w:rFonts w:ascii="Times" w:hAnsi="Times" w:cs="Times"/>
          <w:b/>
          <w:bCs/>
          <w:sz w:val="20"/>
          <w:szCs w:val="19"/>
        </w:rPr>
        <w:t xml:space="preserve"> Review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8"/>
          <w:szCs w:val="24"/>
        </w:rPr>
      </w:pPr>
    </w:p>
    <w:p w:rsidR="00000000" w:rsidRPr="00392A55" w:rsidRDefault="00A25B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rPr>
          <w:rFonts w:ascii="Times New Roman" w:hAnsi="Times New Roman" w:cs="Times New Roman"/>
          <w:sz w:val="36"/>
          <w:szCs w:val="24"/>
        </w:rPr>
      </w:pPr>
      <w:r w:rsidRPr="00392A55">
        <w:rPr>
          <w:rFonts w:ascii="Times" w:hAnsi="Times" w:cs="Times"/>
          <w:b/>
          <w:bCs/>
          <w:sz w:val="28"/>
          <w:szCs w:val="20"/>
        </w:rPr>
        <w:t xml:space="preserve">1. </w:t>
      </w:r>
      <w:r w:rsidRPr="00392A55">
        <w:rPr>
          <w:rFonts w:ascii="Times" w:hAnsi="Times" w:cs="Times"/>
          <w:sz w:val="28"/>
          <w:szCs w:val="20"/>
        </w:rPr>
        <w:t>Wetlands offer a diversity of benefits. They provide habitat for wildlife, spawning grounds for U.S. commercial fish, and</w:t>
      </w:r>
      <w:r w:rsidRPr="00392A55">
        <w:rPr>
          <w:rFonts w:ascii="Times" w:hAnsi="Times" w:cs="Times"/>
          <w:b/>
          <w:bCs/>
          <w:sz w:val="28"/>
          <w:szCs w:val="20"/>
        </w:rPr>
        <w:t xml:space="preserve"> </w:t>
      </w:r>
      <w:r w:rsidRPr="00392A55">
        <w:rPr>
          <w:rFonts w:ascii="Times" w:hAnsi="Times" w:cs="Times"/>
          <w:sz w:val="28"/>
          <w:szCs w:val="20"/>
        </w:rPr>
        <w:t xml:space="preserve">renewable timber resources. In the last 200 years, the United States has lost more than half its wetlands. </w:t>
      </w:r>
      <w:r w:rsidRPr="00392A55">
        <w:rPr>
          <w:rFonts w:ascii="Times" w:hAnsi="Times" w:cs="Times"/>
          <w:i/>
          <w:iCs/>
          <w:sz w:val="28"/>
          <w:szCs w:val="20"/>
        </w:rPr>
        <w:t>Environmental</w:t>
      </w:r>
      <w:r w:rsidRPr="00392A55">
        <w:rPr>
          <w:rFonts w:ascii="Times" w:hAnsi="Times" w:cs="Times"/>
          <w:sz w:val="28"/>
          <w:szCs w:val="20"/>
        </w:rPr>
        <w:t xml:space="preserve"> </w:t>
      </w:r>
      <w:r w:rsidRPr="00392A55">
        <w:rPr>
          <w:rFonts w:ascii="Times" w:hAnsi="Times" w:cs="Times"/>
          <w:i/>
          <w:iCs/>
          <w:sz w:val="28"/>
          <w:szCs w:val="20"/>
        </w:rPr>
        <w:t xml:space="preserve">Almanac </w:t>
      </w:r>
      <w:r w:rsidRPr="00392A55">
        <w:rPr>
          <w:rFonts w:ascii="Times" w:hAnsi="Times" w:cs="Times"/>
          <w:sz w:val="28"/>
          <w:szCs w:val="20"/>
        </w:rPr>
        <w:t>gives the percentage of wetlands lost in each state in the last 200 years. For the lower 48 states, the percentage loss</w:t>
      </w:r>
      <w:r w:rsidRPr="00392A55">
        <w:rPr>
          <w:rFonts w:ascii="Times" w:hAnsi="Times" w:cs="Times"/>
          <w:i/>
          <w:iCs/>
          <w:sz w:val="28"/>
          <w:szCs w:val="20"/>
        </w:rPr>
        <w:t xml:space="preserve"> </w:t>
      </w:r>
      <w:r w:rsidRPr="00392A55">
        <w:rPr>
          <w:rFonts w:ascii="Times" w:hAnsi="Times" w:cs="Times"/>
          <w:sz w:val="28"/>
          <w:szCs w:val="20"/>
        </w:rPr>
        <w:t>of wetl</w:t>
      </w:r>
      <w:r w:rsidRPr="00392A55">
        <w:rPr>
          <w:rFonts w:ascii="Times" w:hAnsi="Times" w:cs="Times"/>
          <w:sz w:val="28"/>
          <w:szCs w:val="20"/>
        </w:rPr>
        <w:t>ands per state is as follows: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460"/>
      </w:tblGrid>
      <w:tr w:rsidR="00000000" w:rsidRPr="00392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w w:val="89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w w:val="89"/>
                <w:szCs w:val="20"/>
              </w:rPr>
              <w:t>52</w:t>
            </w:r>
          </w:p>
        </w:tc>
      </w:tr>
      <w:tr w:rsidR="00000000" w:rsidRPr="00392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w w:val="89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9</w:t>
            </w:r>
          </w:p>
        </w:tc>
      </w:tr>
      <w:tr w:rsidR="00000000" w:rsidRPr="00392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w w:val="89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w w:val="89"/>
                <w:szCs w:val="20"/>
              </w:rPr>
              <w:t>42</w:t>
            </w:r>
          </w:p>
        </w:tc>
      </w:tr>
      <w:tr w:rsidR="00000000" w:rsidRPr="00392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w w:val="89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Times" w:hAnsi="Times" w:cs="Times"/>
                <w:w w:val="89"/>
                <w:szCs w:val="20"/>
              </w:rPr>
              <w:t>67</w:t>
            </w:r>
          </w:p>
        </w:tc>
      </w:tr>
    </w:tbl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4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Make a </w:t>
      </w:r>
      <w:proofErr w:type="spellStart"/>
      <w:r w:rsidRPr="00392A55">
        <w:rPr>
          <w:rFonts w:ascii="Times" w:hAnsi="Times" w:cs="Times"/>
          <w:sz w:val="28"/>
          <w:szCs w:val="20"/>
        </w:rPr>
        <w:t>stemplot</w:t>
      </w:r>
      <w:proofErr w:type="spellEnd"/>
      <w:r w:rsidRPr="00392A55">
        <w:rPr>
          <w:rFonts w:ascii="Times" w:hAnsi="Times" w:cs="Times"/>
          <w:sz w:val="28"/>
          <w:szCs w:val="20"/>
        </w:rPr>
        <w:t xml:space="preserve">, boxplot, and histogram. </w:t>
      </w:r>
    </w:p>
    <w:p w:rsidR="00000000" w:rsidRPr="00392A55" w:rsidRDefault="00A25B7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>Describe the distribution</w:t>
      </w:r>
      <w:r w:rsidR="00392A55" w:rsidRPr="00392A55">
        <w:rPr>
          <w:rFonts w:ascii="Times" w:hAnsi="Times" w:cs="Times"/>
          <w:sz w:val="28"/>
          <w:szCs w:val="20"/>
        </w:rPr>
        <w:t xml:space="preserve"> (the </w:t>
      </w:r>
      <w:r w:rsidR="00392A55" w:rsidRPr="00392A55">
        <w:rPr>
          <w:rFonts w:ascii="Times" w:hAnsi="Times" w:cs="Times"/>
          <w:b/>
          <w:sz w:val="28"/>
          <w:szCs w:val="20"/>
        </w:rPr>
        <w:t>graph</w:t>
      </w:r>
      <w:r w:rsidR="00392A55" w:rsidRPr="00392A55">
        <w:rPr>
          <w:rFonts w:ascii="Times" w:hAnsi="Times" w:cs="Times"/>
          <w:sz w:val="28"/>
          <w:szCs w:val="20"/>
        </w:rPr>
        <w:t xml:space="preserve"> of the distribution)</w:t>
      </w:r>
      <w:r w:rsidRPr="00392A55">
        <w:rPr>
          <w:rFonts w:ascii="Times" w:hAnsi="Times" w:cs="Times"/>
          <w:sz w:val="28"/>
          <w:szCs w:val="20"/>
        </w:rPr>
        <w:t xml:space="preserve">. </w:t>
      </w:r>
    </w:p>
    <w:p w:rsidR="00000000" w:rsidRPr="00392A55" w:rsidRDefault="00A25B7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Find the numerical information: mean, standard deviation, five number summary, outliers, etc.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0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Describe the relationship between the numerical information and the graphical information in context of this problem. </w:t>
      </w:r>
    </w:p>
    <w:p w:rsidR="00000000" w:rsidRDefault="00A25B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392A55" w:rsidRDefault="00392A5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392A55" w:rsidRPr="00392A55" w:rsidRDefault="00392A5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35" w:lineRule="auto"/>
        <w:ind w:left="0" w:right="860" w:firstLine="0"/>
        <w:jc w:val="both"/>
        <w:rPr>
          <w:rFonts w:ascii="Times" w:hAnsi="Times" w:cs="Times"/>
          <w:b/>
          <w:bCs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>I have a data set consist</w:t>
      </w:r>
      <w:r w:rsidRPr="00392A55">
        <w:rPr>
          <w:rFonts w:ascii="Times" w:hAnsi="Times" w:cs="Times"/>
          <w:sz w:val="28"/>
          <w:szCs w:val="20"/>
        </w:rPr>
        <w:t xml:space="preserve">ing of 33 whole number observations. Its five number summary is: (16, 20, 22, 30, </w:t>
      </w:r>
      <w:proofErr w:type="gramStart"/>
      <w:r w:rsidRPr="00392A55">
        <w:rPr>
          <w:rFonts w:ascii="Times" w:hAnsi="Times" w:cs="Times"/>
          <w:sz w:val="28"/>
          <w:szCs w:val="20"/>
        </w:rPr>
        <w:t>46</w:t>
      </w:r>
      <w:proofErr w:type="gramEnd"/>
      <w:r w:rsidRPr="00392A55">
        <w:rPr>
          <w:rFonts w:ascii="Times" w:hAnsi="Times" w:cs="Times"/>
          <w:sz w:val="28"/>
          <w:szCs w:val="20"/>
        </w:rPr>
        <w:t xml:space="preserve">). a) What is the range of the data?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b/>
          <w:bCs/>
          <w:sz w:val="28"/>
          <w:szCs w:val="20"/>
        </w:rPr>
      </w:pPr>
    </w:p>
    <w:p w:rsidR="00000000" w:rsidRPr="00392A55" w:rsidRDefault="00A25B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/>
          <w:bCs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b)  How many observations are strictly less than 22?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b/>
          <w:bCs/>
          <w:sz w:val="28"/>
          <w:szCs w:val="20"/>
        </w:rPr>
      </w:pPr>
    </w:p>
    <w:p w:rsidR="000D5E56" w:rsidRDefault="00A25B76" w:rsidP="00392A5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c) Is it possible that there are no observations equal to 22? Explain. </w:t>
      </w:r>
    </w:p>
    <w:p w:rsidR="00000000" w:rsidRPr="00392A55" w:rsidRDefault="00A25B76" w:rsidP="00392A5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jc w:val="both"/>
        <w:rPr>
          <w:rFonts w:ascii="Times" w:hAnsi="Times" w:cs="Times"/>
          <w:b/>
          <w:bCs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>d) Wh</w:t>
      </w:r>
      <w:r w:rsidRPr="00392A55">
        <w:rPr>
          <w:rFonts w:ascii="Times" w:hAnsi="Times" w:cs="Times"/>
          <w:sz w:val="28"/>
          <w:szCs w:val="20"/>
        </w:rPr>
        <w:t xml:space="preserve">at is the IQR?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b/>
          <w:bCs/>
          <w:sz w:val="28"/>
          <w:szCs w:val="20"/>
        </w:rPr>
      </w:pPr>
    </w:p>
    <w:p w:rsidR="00000000" w:rsidRPr="00392A55" w:rsidRDefault="00A25B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/>
          <w:bCs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e)  Show the test for outliers. Are there any outliers?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bCs/>
          <w:szCs w:val="20"/>
        </w:rPr>
      </w:pPr>
    </w:p>
    <w:p w:rsidR="00392A55" w:rsidRPr="00392A55" w:rsidRDefault="00392A55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" w:hAnsi="Times" w:cs="Times"/>
          <w:b/>
          <w:bCs/>
          <w:szCs w:val="20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34" w:lineRule="auto"/>
        <w:ind w:left="0" w:right="380" w:firstLine="0"/>
        <w:jc w:val="both"/>
        <w:rPr>
          <w:rFonts w:ascii="Times" w:hAnsi="Times" w:cs="Times"/>
          <w:b/>
          <w:bCs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The average playing time of compact discs in a large collection is 35 minutes with a standard deviation of 5 minutes. Assume a normal distribution.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36"/>
          <w:szCs w:val="24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Draw the distribution for this problem. </w:t>
      </w:r>
    </w:p>
    <w:p w:rsidR="00000000" w:rsidRPr="00392A55" w:rsidRDefault="00A25B7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What values are at one standard deviation above and below the mean? </w:t>
      </w:r>
    </w:p>
    <w:p w:rsidR="00000000" w:rsidRPr="00392A55" w:rsidRDefault="00A25B7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Assuming a normal distribution, at least what percentage of the times are between 25 and 45 minutes? </w:t>
      </w:r>
    </w:p>
    <w:p w:rsidR="00000000" w:rsidRPr="00392A55" w:rsidRDefault="00A25B7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15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>What value is at the 84</w:t>
      </w:r>
      <w:r w:rsidRPr="00392A55">
        <w:rPr>
          <w:rFonts w:ascii="Times" w:hAnsi="Times" w:cs="Times"/>
          <w:sz w:val="36"/>
          <w:szCs w:val="25"/>
          <w:vertAlign w:val="superscript"/>
        </w:rPr>
        <w:t>th</w:t>
      </w:r>
      <w:r w:rsidRPr="00392A55">
        <w:rPr>
          <w:rFonts w:ascii="Times" w:hAnsi="Times" w:cs="Times"/>
          <w:sz w:val="28"/>
          <w:szCs w:val="20"/>
        </w:rPr>
        <w:t xml:space="preserve"> percen</w:t>
      </w:r>
      <w:r w:rsidRPr="00392A55">
        <w:rPr>
          <w:rFonts w:ascii="Times" w:hAnsi="Times" w:cs="Times"/>
          <w:sz w:val="28"/>
          <w:szCs w:val="20"/>
        </w:rPr>
        <w:t>tile? The 50</w:t>
      </w:r>
      <w:r w:rsidRPr="00392A55">
        <w:rPr>
          <w:rFonts w:ascii="Times" w:hAnsi="Times" w:cs="Times"/>
          <w:sz w:val="36"/>
          <w:szCs w:val="25"/>
          <w:vertAlign w:val="superscript"/>
        </w:rPr>
        <w:t>th</w:t>
      </w:r>
      <w:r w:rsidRPr="00392A55">
        <w:rPr>
          <w:rFonts w:ascii="Times" w:hAnsi="Times" w:cs="Times"/>
          <w:sz w:val="28"/>
          <w:szCs w:val="20"/>
        </w:rPr>
        <w:t xml:space="preserve"> percentile? </w:t>
      </w:r>
    </w:p>
    <w:p w:rsidR="00000000" w:rsidRPr="00392A55" w:rsidRDefault="00A25B7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10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What can be said about the percentage of times that are either less than 20 minutes or greater than 50 minutes? </w:t>
      </w:r>
    </w:p>
    <w:p w:rsidR="00000000" w:rsidRDefault="00A25B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392A55" w:rsidRDefault="00392A5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392A55" w:rsidRPr="00392A55" w:rsidRDefault="00392A5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36" w:lineRule="auto"/>
        <w:ind w:left="0" w:firstLine="0"/>
        <w:rPr>
          <w:rFonts w:ascii="Times" w:hAnsi="Times" w:cs="Times"/>
          <w:b/>
          <w:bCs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At a ski area in Vermont, the daytime high temperature is normally distributed during January, with a mean of 22 degrees and a standard deviation of 10 degrees (U.S. Department of Commerce, </w:t>
      </w:r>
      <w:r w:rsidRPr="00392A55">
        <w:rPr>
          <w:rFonts w:ascii="Times" w:hAnsi="Times" w:cs="Times"/>
          <w:i/>
          <w:iCs/>
          <w:sz w:val="28"/>
          <w:szCs w:val="20"/>
        </w:rPr>
        <w:t>Environmental Data Services</w:t>
      </w:r>
      <w:r w:rsidRPr="00392A55">
        <w:rPr>
          <w:rFonts w:ascii="Times" w:hAnsi="Times" w:cs="Times"/>
          <w:sz w:val="28"/>
          <w:szCs w:val="20"/>
        </w:rPr>
        <w:t>). You are planning to ski there this J</w:t>
      </w:r>
      <w:r w:rsidRPr="00392A55">
        <w:rPr>
          <w:rFonts w:ascii="Times" w:hAnsi="Times" w:cs="Times"/>
          <w:sz w:val="28"/>
          <w:szCs w:val="20"/>
        </w:rPr>
        <w:t xml:space="preserve">anuary. What is the probability that you will encounter daytime highs of: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b/>
          <w:bCs/>
          <w:sz w:val="28"/>
          <w:szCs w:val="20"/>
        </w:rPr>
      </w:pPr>
    </w:p>
    <w:p w:rsidR="00392A55" w:rsidRDefault="00392A55" w:rsidP="00392A5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jc w:val="both"/>
        <w:rPr>
          <w:rFonts w:ascii="Times" w:hAnsi="Times" w:cs="Times"/>
          <w:sz w:val="28"/>
          <w:szCs w:val="20"/>
        </w:rPr>
      </w:pPr>
      <w:r>
        <w:rPr>
          <w:rFonts w:ascii="Times" w:hAnsi="Times" w:cs="Times"/>
          <w:sz w:val="28"/>
          <w:szCs w:val="20"/>
        </w:rPr>
        <w:t xml:space="preserve">a) 42 degrees or </w:t>
      </w:r>
      <w:r w:rsidR="00A25B76" w:rsidRPr="00392A55">
        <w:rPr>
          <w:rFonts w:ascii="Times" w:hAnsi="Times" w:cs="Times"/>
          <w:sz w:val="28"/>
          <w:szCs w:val="20"/>
        </w:rPr>
        <w:t xml:space="preserve">higher? </w:t>
      </w:r>
    </w:p>
    <w:p w:rsidR="00000000" w:rsidRPr="00392A55" w:rsidRDefault="00A25B76" w:rsidP="00392A5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jc w:val="both"/>
        <w:rPr>
          <w:rFonts w:ascii="Times" w:hAnsi="Times" w:cs="Times"/>
          <w:b/>
          <w:bCs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b) 15 degrees or lower? </w:t>
      </w:r>
    </w:p>
    <w:p w:rsidR="00000000" w:rsidRPr="00392A55" w:rsidRDefault="00A25B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/>
          <w:bCs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c)  </w:t>
      </w:r>
      <w:proofErr w:type="gramStart"/>
      <w:r w:rsidRPr="00392A55">
        <w:rPr>
          <w:rFonts w:ascii="Times" w:hAnsi="Times" w:cs="Times"/>
          <w:sz w:val="28"/>
          <w:szCs w:val="20"/>
        </w:rPr>
        <w:t>between</w:t>
      </w:r>
      <w:proofErr w:type="gramEnd"/>
      <w:r w:rsidRPr="00392A55">
        <w:rPr>
          <w:rFonts w:ascii="Times" w:hAnsi="Times" w:cs="Times"/>
          <w:sz w:val="28"/>
          <w:szCs w:val="20"/>
        </w:rPr>
        <w:t xml:space="preserve"> 29 and 40 degrees? </w:t>
      </w:r>
    </w:p>
    <w:p w:rsidR="00000000" w:rsidRDefault="00A25B76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" w:hAnsi="Times" w:cs="Times"/>
          <w:b/>
          <w:bCs/>
          <w:sz w:val="28"/>
          <w:szCs w:val="20"/>
        </w:rPr>
      </w:pPr>
    </w:p>
    <w:p w:rsidR="00392A55" w:rsidRPr="00392A55" w:rsidRDefault="00392A55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" w:hAnsi="Times" w:cs="Times"/>
          <w:b/>
          <w:bCs/>
          <w:sz w:val="28"/>
          <w:szCs w:val="20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36" w:lineRule="auto"/>
        <w:ind w:left="0" w:firstLine="0"/>
        <w:rPr>
          <w:rFonts w:ascii="Times" w:hAnsi="Times" w:cs="Times"/>
          <w:b/>
          <w:bCs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>Eleanor scores 680 on the mathematics part of the SAT. The distribution of SAT scores is normal with a mean of 500 and standard deviation 100. Gerald takes the ACT mathematics test and scores 27. ACT scores are normally distributed with mean 18 and standar</w:t>
      </w:r>
      <w:r w:rsidRPr="00392A55">
        <w:rPr>
          <w:rFonts w:ascii="Times" w:hAnsi="Times" w:cs="Times"/>
          <w:sz w:val="28"/>
          <w:szCs w:val="20"/>
        </w:rPr>
        <w:t xml:space="preserve">d deviation 6. Assuming both tests measure the same kind of ability, who has the higher score? Explain. </w:t>
      </w:r>
    </w:p>
    <w:p w:rsidR="00000000" w:rsidRDefault="00A25B76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" w:hAnsi="Times" w:cs="Times"/>
          <w:b/>
          <w:bCs/>
          <w:sz w:val="28"/>
          <w:szCs w:val="20"/>
        </w:rPr>
      </w:pPr>
    </w:p>
    <w:p w:rsidR="00392A55" w:rsidRDefault="00392A55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" w:hAnsi="Times" w:cs="Times"/>
          <w:b/>
          <w:bCs/>
          <w:sz w:val="28"/>
          <w:szCs w:val="20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35" w:lineRule="auto"/>
        <w:ind w:left="0" w:right="660" w:firstLine="0"/>
        <w:jc w:val="both"/>
        <w:rPr>
          <w:rFonts w:ascii="Times" w:hAnsi="Times" w:cs="Times"/>
          <w:b/>
          <w:bCs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According to </w:t>
      </w:r>
      <w:r w:rsidRPr="00392A55">
        <w:rPr>
          <w:rFonts w:ascii="Times" w:hAnsi="Times" w:cs="Times"/>
          <w:i/>
          <w:iCs/>
          <w:sz w:val="28"/>
          <w:szCs w:val="20"/>
        </w:rPr>
        <w:t>The New York Times</w:t>
      </w:r>
      <w:r w:rsidRPr="00392A55">
        <w:rPr>
          <w:rFonts w:ascii="Times" w:hAnsi="Times" w:cs="Times"/>
          <w:sz w:val="28"/>
          <w:szCs w:val="20"/>
        </w:rPr>
        <w:t xml:space="preserve"> (April 2, 1993), the average monthly rate for basic television cable service has increased as follows: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6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1325"/>
        <w:gridCol w:w="1223"/>
        <w:gridCol w:w="1223"/>
        <w:gridCol w:w="1223"/>
        <w:gridCol w:w="1223"/>
        <w:gridCol w:w="1019"/>
      </w:tblGrid>
      <w:tr w:rsidR="00000000" w:rsidRPr="00392A55" w:rsidTr="00392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 xml:space="preserve">Year: </w:t>
            </w:r>
            <w:r w:rsidR="00392A55">
              <w:rPr>
                <w:rFonts w:ascii="Times" w:hAnsi="Times" w:cs="Times"/>
                <w:sz w:val="28"/>
                <w:szCs w:val="20"/>
              </w:rPr>
              <w:t xml:space="preserve">       </w:t>
            </w:r>
            <w:r w:rsidRPr="00392A55">
              <w:rPr>
                <w:rFonts w:ascii="Times" w:hAnsi="Times" w:cs="Times"/>
                <w:sz w:val="28"/>
                <w:szCs w:val="20"/>
              </w:rPr>
              <w:t>198</w:t>
            </w:r>
            <w:r w:rsidRPr="00392A55">
              <w:rPr>
                <w:rFonts w:ascii="Times" w:hAnsi="Times" w:cs="Times"/>
                <w:sz w:val="28"/>
                <w:szCs w:val="2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>1987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>1988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>1989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>1990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>1991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>1992</w:t>
            </w:r>
          </w:p>
        </w:tc>
      </w:tr>
      <w:tr w:rsidR="00000000" w:rsidRPr="00392A55" w:rsidTr="00392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w w:val="99"/>
                <w:sz w:val="28"/>
                <w:szCs w:val="20"/>
              </w:rPr>
              <w:t>Cost</w:t>
            </w:r>
            <w:r w:rsidR="00392A55">
              <w:rPr>
                <w:rFonts w:ascii="Times" w:hAnsi="Times" w:cs="Times"/>
                <w:w w:val="99"/>
                <w:sz w:val="28"/>
                <w:szCs w:val="20"/>
              </w:rPr>
              <w:t>($)</w:t>
            </w:r>
            <w:r w:rsidRPr="00392A55">
              <w:rPr>
                <w:rFonts w:ascii="Times" w:hAnsi="Times" w:cs="Times"/>
                <w:w w:val="99"/>
                <w:sz w:val="28"/>
                <w:szCs w:val="20"/>
              </w:rPr>
              <w:t>:</w:t>
            </w:r>
            <w:r w:rsidR="00392A55">
              <w:rPr>
                <w:rFonts w:ascii="Times" w:hAnsi="Times" w:cs="Times"/>
                <w:w w:val="99"/>
                <w:sz w:val="28"/>
                <w:szCs w:val="20"/>
              </w:rPr>
              <w:t xml:space="preserve">    </w:t>
            </w:r>
            <w:r w:rsidRPr="00392A55">
              <w:rPr>
                <w:rFonts w:ascii="Times" w:hAnsi="Times" w:cs="Times"/>
                <w:w w:val="99"/>
                <w:sz w:val="28"/>
                <w:szCs w:val="20"/>
              </w:rPr>
              <w:t>11</w:t>
            </w:r>
            <w:r w:rsidR="00392A55">
              <w:rPr>
                <w:rFonts w:ascii="Times" w:hAnsi="Times" w:cs="Times"/>
                <w:w w:val="99"/>
                <w:sz w:val="28"/>
                <w:szCs w:val="20"/>
              </w:rPr>
              <w:t>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>13.20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>13.90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>15.20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>16.80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sz w:val="28"/>
                <w:szCs w:val="20"/>
              </w:rPr>
              <w:t>18.00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2A55" w:rsidRDefault="00A25B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36"/>
                <w:szCs w:val="24"/>
              </w:rPr>
            </w:pPr>
            <w:r w:rsidRPr="00392A55">
              <w:rPr>
                <w:rFonts w:ascii="Times" w:hAnsi="Times" w:cs="Times"/>
                <w:w w:val="97"/>
                <w:sz w:val="28"/>
                <w:szCs w:val="20"/>
              </w:rPr>
              <w:t>20.00</w:t>
            </w:r>
          </w:p>
        </w:tc>
      </w:tr>
    </w:tbl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36"/>
          <w:szCs w:val="24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Draw a scatterplot for the data.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0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Find the equation of the least squares regression line.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0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Slope = _______. Interpret the slope in context. </w:t>
      </w:r>
    </w:p>
    <w:p w:rsidR="00000000" w:rsidRPr="00392A55" w:rsidRDefault="00A25B7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proofErr w:type="gramStart"/>
      <w:r w:rsidRPr="00392A55">
        <w:rPr>
          <w:rFonts w:ascii="Times" w:hAnsi="Times" w:cs="Times"/>
          <w:sz w:val="28"/>
          <w:szCs w:val="20"/>
        </w:rPr>
        <w:t>y-intercept</w:t>
      </w:r>
      <w:proofErr w:type="gramEnd"/>
      <w:r w:rsidRPr="00392A55">
        <w:rPr>
          <w:rFonts w:ascii="Times" w:hAnsi="Times" w:cs="Times"/>
          <w:sz w:val="28"/>
          <w:szCs w:val="20"/>
        </w:rPr>
        <w:t xml:space="preserve"> = _______. Interpret the y-intercept in context. </w:t>
      </w:r>
    </w:p>
    <w:p w:rsidR="00000000" w:rsidRPr="00392A55" w:rsidRDefault="00A25B7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r = ______. Interpret the correlation coefficient in context. </w:t>
      </w:r>
    </w:p>
    <w:p w:rsidR="00000000" w:rsidRPr="00392A55" w:rsidRDefault="00A25B7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6" w:lineRule="auto"/>
        <w:ind w:left="240" w:hanging="24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>r</w:t>
      </w:r>
      <w:r w:rsidRPr="00392A55">
        <w:rPr>
          <w:rFonts w:ascii="Times" w:hAnsi="Times" w:cs="Times"/>
          <w:sz w:val="36"/>
          <w:szCs w:val="25"/>
          <w:vertAlign w:val="superscript"/>
        </w:rPr>
        <w:t>2</w:t>
      </w:r>
      <w:r w:rsidRPr="00392A55">
        <w:rPr>
          <w:rFonts w:ascii="Times" w:hAnsi="Times" w:cs="Times"/>
          <w:sz w:val="28"/>
          <w:szCs w:val="20"/>
        </w:rPr>
        <w:t xml:space="preserve"> = ______. Interpret the coefficient of determination in context. </w:t>
      </w:r>
    </w:p>
    <w:p w:rsidR="00000000" w:rsidRPr="00392A55" w:rsidRDefault="00A25B7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0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Predict the average monthly rate in 2007. </w:t>
      </w:r>
    </w:p>
    <w:p w:rsidR="00000000" w:rsidRPr="00392A55" w:rsidRDefault="00A25B7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Predict in what year the rate will reach $50.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0"/>
        </w:rPr>
      </w:pPr>
    </w:p>
    <w:p w:rsidR="00000000" w:rsidRPr="00392A55" w:rsidRDefault="00A25B76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Do you feel confident in the prediction you made in part g? Explain. </w:t>
      </w:r>
    </w:p>
    <w:p w:rsidR="00000000" w:rsidRPr="00392A55" w:rsidRDefault="00A25B76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0"/>
        </w:rPr>
      </w:pPr>
    </w:p>
    <w:p w:rsidR="00000000" w:rsidRPr="00392A55" w:rsidRDefault="00A25B76" w:rsidP="00392A55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35" w:lineRule="auto"/>
        <w:ind w:left="0" w:right="60" w:firstLine="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Find the residuals for each year and make a residual plot. Use the plot to determine whether the LSRL is a good model to predict </w:t>
      </w:r>
      <w:r w:rsidRPr="00392A55">
        <w:rPr>
          <w:rFonts w:ascii="Times" w:hAnsi="Times" w:cs="Times"/>
          <w:sz w:val="28"/>
          <w:szCs w:val="20"/>
        </w:rPr>
        <w:t xml:space="preserve">the cost of basic cable service. </w:t>
      </w:r>
    </w:p>
    <w:p w:rsidR="00392A55" w:rsidRPr="00392A55" w:rsidRDefault="00392A55" w:rsidP="00392A5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right="60"/>
        <w:jc w:val="both"/>
        <w:rPr>
          <w:rFonts w:ascii="Times" w:hAnsi="Times" w:cs="Times"/>
          <w:sz w:val="28"/>
          <w:szCs w:val="20"/>
        </w:rPr>
      </w:pPr>
    </w:p>
    <w:p w:rsidR="00392A55" w:rsidRPr="00392A55" w:rsidRDefault="00392A55" w:rsidP="00392A55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right="500"/>
        <w:jc w:val="both"/>
        <w:rPr>
          <w:rFonts w:ascii="Times" w:hAnsi="Times" w:cs="Times"/>
          <w:b/>
          <w:bCs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Ball players have been signing ever larger contracts. The highest salaries (in millions of dollars per season) for some notable players are given in the following table. 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540"/>
        <w:gridCol w:w="660"/>
        <w:gridCol w:w="1840"/>
      </w:tblGrid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Year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Salary (million $)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Ryan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1980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89"/>
                <w:szCs w:val="20"/>
              </w:rPr>
              <w:t>1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Foster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1982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97"/>
                <w:szCs w:val="20"/>
              </w:rPr>
              <w:t>2.04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Puckett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1990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89"/>
                <w:szCs w:val="20"/>
              </w:rPr>
              <w:t>3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Canseco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1990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93"/>
                <w:szCs w:val="20"/>
              </w:rPr>
              <w:t>4.7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Clemens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1991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93"/>
                <w:szCs w:val="20"/>
              </w:rPr>
              <w:t>5.3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Griffey, Jr.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1996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93"/>
                <w:szCs w:val="20"/>
              </w:rPr>
              <w:t>8.5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Belle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1997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98"/>
                <w:szCs w:val="20"/>
              </w:rPr>
              <w:t>11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Martinez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1998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97"/>
                <w:szCs w:val="20"/>
              </w:rPr>
              <w:t>12.5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Piazza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97"/>
                <w:szCs w:val="20"/>
              </w:rPr>
              <w:t>12.5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Vaughn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97"/>
                <w:szCs w:val="20"/>
              </w:rPr>
              <w:t>13.3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Brown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98"/>
                <w:szCs w:val="20"/>
              </w:rPr>
              <w:t>15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Delgado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98"/>
                <w:szCs w:val="20"/>
              </w:rPr>
              <w:t>17</w:t>
            </w:r>
          </w:p>
        </w:tc>
      </w:tr>
      <w:tr w:rsidR="00392A55" w:rsidRPr="00392A55" w:rsidTr="00091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Rodriguez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szCs w:val="20"/>
              </w:rPr>
              <w:t>2001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A55" w:rsidRPr="00392A55" w:rsidRDefault="00392A55" w:rsidP="00091F1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2A55">
              <w:rPr>
                <w:rFonts w:ascii="Helvetica" w:hAnsi="Helvetica" w:cs="Helvetica"/>
                <w:w w:val="97"/>
                <w:szCs w:val="20"/>
              </w:rPr>
              <w:t>25.2</w:t>
            </w:r>
          </w:p>
        </w:tc>
      </w:tr>
    </w:tbl>
    <w:p w:rsidR="00392A55" w:rsidRPr="00392A55" w:rsidRDefault="00392A55" w:rsidP="00392A55">
      <w:pPr>
        <w:pStyle w:val="DefaultParagraphFont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4"/>
        </w:rPr>
      </w:pPr>
    </w:p>
    <w:p w:rsidR="00392A55" w:rsidRDefault="00392A55" w:rsidP="00392A55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Draw a scatterplot. Is it linear? </w:t>
      </w:r>
    </w:p>
    <w:p w:rsidR="00392A55" w:rsidRPr="00392A55" w:rsidRDefault="00392A55" w:rsidP="00392A55">
      <w:pPr>
        <w:numPr>
          <w:ilvl w:val="0"/>
          <w:numId w:val="7"/>
        </w:numPr>
        <w:tabs>
          <w:tab w:val="clear" w:pos="720"/>
          <w:tab w:val="num" w:pos="270"/>
        </w:tabs>
        <w:spacing w:after="0"/>
        <w:ind w:left="360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The LSRL after taking the logarithms of Salary is: </w:t>
      </w:r>
      <w:proofErr w:type="gramStart"/>
      <w:r w:rsidRPr="00392A55">
        <w:rPr>
          <w:rFonts w:ascii="Times" w:hAnsi="Times" w:cs="Times"/>
          <w:sz w:val="28"/>
          <w:szCs w:val="20"/>
        </w:rPr>
        <w:t>Log(</w:t>
      </w:r>
      <w:proofErr w:type="gramEnd"/>
      <w:r w:rsidRPr="00392A55">
        <w:rPr>
          <w:rFonts w:ascii="Times" w:hAnsi="Times" w:cs="Times"/>
          <w:sz w:val="28"/>
          <w:szCs w:val="20"/>
        </w:rPr>
        <w:t>Salary)=</w:t>
      </w:r>
      <w:r>
        <w:rPr>
          <w:rFonts w:ascii="Times" w:hAnsi="Times" w:cs="Times"/>
          <w:sz w:val="28"/>
          <w:szCs w:val="20"/>
        </w:rPr>
        <w:t xml:space="preserve"> </w:t>
      </w:r>
      <w:r w:rsidRPr="00392A55">
        <w:rPr>
          <w:rFonts w:ascii="Times" w:hAnsi="Times" w:cs="Times"/>
          <w:sz w:val="28"/>
          <w:szCs w:val="20"/>
        </w:rPr>
        <w:t xml:space="preserve">-113.47 +0.057(Year) Convert that to an exponential equation. </w:t>
      </w:r>
    </w:p>
    <w:p w:rsidR="00392A55" w:rsidRPr="00392A55" w:rsidRDefault="00392A55" w:rsidP="00392A55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0"/>
        </w:rPr>
      </w:pPr>
    </w:p>
    <w:p w:rsidR="00392A55" w:rsidRPr="00392A55" w:rsidRDefault="00392A55" w:rsidP="00392A55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0"/>
        </w:rPr>
      </w:pPr>
    </w:p>
    <w:p w:rsidR="00392A55" w:rsidRPr="00392A55" w:rsidRDefault="00392A55" w:rsidP="00392A55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 xml:space="preserve">Predict a superstar salary in 2006. </w:t>
      </w:r>
    </w:p>
    <w:p w:rsidR="00392A55" w:rsidRPr="00392A55" w:rsidRDefault="00392A55" w:rsidP="00392A55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0"/>
        </w:rPr>
      </w:pPr>
    </w:p>
    <w:p w:rsidR="00392A55" w:rsidRDefault="00392A55" w:rsidP="00392A55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34" w:lineRule="auto"/>
        <w:ind w:left="0" w:right="360" w:firstLine="0"/>
        <w:jc w:val="both"/>
        <w:rPr>
          <w:rFonts w:ascii="Times" w:hAnsi="Times" w:cs="Times"/>
          <w:sz w:val="28"/>
          <w:szCs w:val="20"/>
        </w:rPr>
      </w:pPr>
      <w:r w:rsidRPr="00392A55">
        <w:rPr>
          <w:rFonts w:ascii="Times" w:hAnsi="Times" w:cs="Times"/>
          <w:sz w:val="28"/>
          <w:szCs w:val="20"/>
        </w:rPr>
        <w:t>Alfonso Soriano just signed a new contract for an average of $16.5 million. Does that match your pre</w:t>
      </w:r>
      <w:r>
        <w:rPr>
          <w:rFonts w:ascii="Times" w:hAnsi="Times" w:cs="Times"/>
          <w:sz w:val="28"/>
          <w:szCs w:val="20"/>
        </w:rPr>
        <w:t xml:space="preserve">diction from part (c)? Explain. </w:t>
      </w:r>
    </w:p>
    <w:p w:rsidR="00A25B76" w:rsidRPr="00392A55" w:rsidRDefault="00A25B76" w:rsidP="00392A55">
      <w:pPr>
        <w:tabs>
          <w:tab w:val="left" w:pos="945"/>
        </w:tabs>
      </w:pPr>
      <w:bookmarkStart w:id="1" w:name="page2"/>
      <w:bookmarkStart w:id="2" w:name="_GoBack"/>
      <w:bookmarkEnd w:id="1"/>
      <w:bookmarkEnd w:id="2"/>
    </w:p>
    <w:sectPr w:rsidR="00A25B76" w:rsidRPr="00392A55" w:rsidSect="00392A55">
      <w:pgSz w:w="12240" w:h="15840"/>
      <w:pgMar w:top="544" w:right="1100" w:bottom="540" w:left="108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55"/>
    <w:rsid w:val="000D5E56"/>
    <w:rsid w:val="00392A55"/>
    <w:rsid w:val="00A25B76"/>
    <w:rsid w:val="00E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E78DE3-41F1-4F9F-800F-373CA8D8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2</cp:revision>
  <cp:lastPrinted>2014-10-15T16:28:00Z</cp:lastPrinted>
  <dcterms:created xsi:type="dcterms:W3CDTF">2014-10-15T22:05:00Z</dcterms:created>
  <dcterms:modified xsi:type="dcterms:W3CDTF">2014-10-15T22:05:00Z</dcterms:modified>
</cp:coreProperties>
</file>